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A10CD" w14:textId="06E0E4BF" w:rsidR="00535250" w:rsidRPr="00107193" w:rsidRDefault="00404150" w:rsidP="00293408">
      <w:pPr>
        <w:pStyle w:val="Heading1"/>
        <w:rPr>
          <w:rFonts w:cstheme="majorHAnsi"/>
        </w:rPr>
      </w:pPr>
      <w:r w:rsidRPr="00107193">
        <w:rPr>
          <w:rFonts w:cstheme="majorHAnsi"/>
        </w:rPr>
        <w:t xml:space="preserve">Tree Protection Local Law – </w:t>
      </w:r>
      <w:r w:rsidR="00107193">
        <w:rPr>
          <w:rFonts w:cstheme="majorHAnsi"/>
        </w:rPr>
        <w:t>SUMMARY OF CHANGES</w:t>
      </w:r>
      <w:r w:rsidRPr="00107193">
        <w:rPr>
          <w:rFonts w:cstheme="majorHAnsi"/>
        </w:rPr>
        <w:t xml:space="preserve"> </w:t>
      </w:r>
      <w:r w:rsidR="00293408">
        <w:rPr>
          <w:rFonts w:cstheme="majorHAnsi"/>
        </w:rPr>
        <w:t xml:space="preserve">as </w:t>
      </w:r>
      <w:proofErr w:type="gramStart"/>
      <w:r w:rsidR="00293408">
        <w:rPr>
          <w:rFonts w:cstheme="majorHAnsi"/>
        </w:rPr>
        <w:t>at</w:t>
      </w:r>
      <w:proofErr w:type="gramEnd"/>
      <w:r w:rsidR="00293408">
        <w:rPr>
          <w:rFonts w:cstheme="majorHAnsi"/>
        </w:rPr>
        <w:t xml:space="preserve"> 6 February 2026 </w:t>
      </w:r>
      <w:r w:rsidRPr="00107193">
        <w:rPr>
          <w:rFonts w:cstheme="majorHAnsi"/>
        </w:rPr>
        <w:t>(2016 vs Draft 2026)</w:t>
      </w:r>
    </w:p>
    <w:p w14:paraId="26837F29" w14:textId="295EC7F2" w:rsidR="00535250" w:rsidRPr="00107193" w:rsidRDefault="00404150">
      <w:pPr>
        <w:rPr>
          <w:rFonts w:asciiTheme="majorHAnsi" w:hAnsiTheme="majorHAnsi" w:cstheme="majorHAnsi"/>
        </w:rPr>
      </w:pPr>
      <w:r w:rsidRPr="00107193">
        <w:rPr>
          <w:rFonts w:asciiTheme="majorHAnsi" w:hAnsiTheme="majorHAnsi" w:cstheme="majorHAnsi"/>
        </w:rPr>
        <w:t>Community engagement summary of changes identified between the current Tree Protection Local Law 2016 No. 22 and the draft review version (proposed 2026).</w:t>
      </w:r>
    </w:p>
    <w:tbl>
      <w:tblPr>
        <w:tblStyle w:val="TableGrid"/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1853"/>
        <w:gridCol w:w="1849"/>
        <w:gridCol w:w="1860"/>
        <w:gridCol w:w="2518"/>
      </w:tblGrid>
      <w:tr w:rsidR="00535250" w:rsidRPr="008762C4" w14:paraId="1C4D9D87" w14:textId="77777777" w:rsidTr="00025551">
        <w:tc>
          <w:tcPr>
            <w:tcW w:w="2127" w:type="dxa"/>
            <w:shd w:val="clear" w:color="auto" w:fill="EAF1DD" w:themeFill="accent3" w:themeFillTint="33"/>
            <w:vAlign w:val="center"/>
          </w:tcPr>
          <w:p w14:paraId="1DB216F2" w14:textId="77777777" w:rsidR="00535250" w:rsidRPr="008762C4" w:rsidRDefault="00404150" w:rsidP="00107193">
            <w:pPr>
              <w:jc w:val="center"/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Topic</w:t>
            </w:r>
          </w:p>
        </w:tc>
        <w:tc>
          <w:tcPr>
            <w:tcW w:w="1853" w:type="dxa"/>
            <w:shd w:val="clear" w:color="auto" w:fill="EAF1DD" w:themeFill="accent3" w:themeFillTint="33"/>
            <w:vAlign w:val="center"/>
          </w:tcPr>
          <w:p w14:paraId="54270D97" w14:textId="77777777" w:rsidR="00535250" w:rsidRPr="008762C4" w:rsidRDefault="00404150" w:rsidP="00107193">
            <w:pPr>
              <w:jc w:val="center"/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Current Local Law (2016)</w:t>
            </w:r>
          </w:p>
        </w:tc>
        <w:tc>
          <w:tcPr>
            <w:tcW w:w="1849" w:type="dxa"/>
            <w:shd w:val="clear" w:color="auto" w:fill="EAF1DD" w:themeFill="accent3" w:themeFillTint="33"/>
            <w:vAlign w:val="center"/>
          </w:tcPr>
          <w:p w14:paraId="79414539" w14:textId="77777777" w:rsidR="00535250" w:rsidRPr="008762C4" w:rsidRDefault="00404150" w:rsidP="00107193">
            <w:pPr>
              <w:jc w:val="center"/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Draft Local Law (2026)</w:t>
            </w:r>
          </w:p>
        </w:tc>
        <w:tc>
          <w:tcPr>
            <w:tcW w:w="1860" w:type="dxa"/>
            <w:shd w:val="clear" w:color="auto" w:fill="EAF1DD" w:themeFill="accent3" w:themeFillTint="33"/>
            <w:vAlign w:val="center"/>
          </w:tcPr>
          <w:p w14:paraId="5809A713" w14:textId="46F6C451" w:rsidR="00535250" w:rsidRPr="008762C4" w:rsidRDefault="00107193" w:rsidP="00107193">
            <w:pPr>
              <w:jc w:val="center"/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What’s changed</w:t>
            </w:r>
          </w:p>
        </w:tc>
        <w:tc>
          <w:tcPr>
            <w:tcW w:w="2518" w:type="dxa"/>
            <w:shd w:val="clear" w:color="auto" w:fill="EAF1DD" w:themeFill="accent3" w:themeFillTint="33"/>
            <w:vAlign w:val="center"/>
          </w:tcPr>
          <w:p w14:paraId="055B580D" w14:textId="75226982" w:rsidR="00535250" w:rsidRPr="008762C4" w:rsidRDefault="00107193" w:rsidP="00107193">
            <w:pPr>
              <w:jc w:val="center"/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Why has this been updated</w:t>
            </w:r>
          </w:p>
        </w:tc>
      </w:tr>
      <w:tr w:rsidR="00535250" w:rsidRPr="008762C4" w14:paraId="0427A223" w14:textId="77777777" w:rsidTr="00025551">
        <w:tc>
          <w:tcPr>
            <w:tcW w:w="2127" w:type="dxa"/>
            <w:vAlign w:val="center"/>
          </w:tcPr>
          <w:p w14:paraId="073A97A6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proofErr w:type="spellStart"/>
            <w:r w:rsidRPr="008762C4">
              <w:rPr>
                <w:rFonts w:asciiTheme="majorHAnsi" w:hAnsiTheme="majorHAnsi" w:cstheme="majorHAnsi"/>
              </w:rPr>
              <w:t>Authorising</w:t>
            </w:r>
            <w:proofErr w:type="spellEnd"/>
            <w:r w:rsidRPr="008762C4">
              <w:rPr>
                <w:rFonts w:asciiTheme="majorHAnsi" w:hAnsiTheme="majorHAnsi" w:cstheme="majorHAnsi"/>
              </w:rPr>
              <w:t xml:space="preserve"> legislation</w:t>
            </w:r>
          </w:p>
          <w:p w14:paraId="1DBC72CA" w14:textId="77777777" w:rsidR="00025551" w:rsidRPr="008762C4" w:rsidRDefault="00025551" w:rsidP="00107193">
            <w:pPr>
              <w:rPr>
                <w:rFonts w:asciiTheme="majorHAnsi" w:hAnsiTheme="majorHAnsi" w:cstheme="majorHAnsi"/>
              </w:rPr>
            </w:pPr>
          </w:p>
          <w:p w14:paraId="68A0FD5C" w14:textId="767E17FA" w:rsidR="00025551" w:rsidRPr="008762C4" w:rsidRDefault="00025551" w:rsidP="0010719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53" w:type="dxa"/>
            <w:vAlign w:val="center"/>
          </w:tcPr>
          <w:p w14:paraId="0324B0E8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Made under Local Government Act 1989 s111(1).</w:t>
            </w:r>
          </w:p>
        </w:tc>
        <w:tc>
          <w:tcPr>
            <w:tcW w:w="1849" w:type="dxa"/>
            <w:vAlign w:val="center"/>
          </w:tcPr>
          <w:p w14:paraId="31A358C6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Made under Local Government Act 2020 s111(1).</w:t>
            </w:r>
          </w:p>
        </w:tc>
        <w:tc>
          <w:tcPr>
            <w:tcW w:w="1860" w:type="dxa"/>
            <w:vAlign w:val="center"/>
          </w:tcPr>
          <w:p w14:paraId="62916904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Updates the Act reference.</w:t>
            </w:r>
          </w:p>
        </w:tc>
        <w:tc>
          <w:tcPr>
            <w:tcW w:w="2518" w:type="dxa"/>
            <w:vAlign w:val="center"/>
          </w:tcPr>
          <w:p w14:paraId="7F769B10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Align local law with current governing legislation.</w:t>
            </w:r>
          </w:p>
        </w:tc>
      </w:tr>
      <w:tr w:rsidR="00535250" w:rsidRPr="008762C4" w14:paraId="26B332FF" w14:textId="77777777" w:rsidTr="00025551">
        <w:tc>
          <w:tcPr>
            <w:tcW w:w="2127" w:type="dxa"/>
            <w:vAlign w:val="center"/>
          </w:tcPr>
          <w:p w14:paraId="61FE607D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Revocation clause</w:t>
            </w:r>
          </w:p>
          <w:p w14:paraId="7F83CCC9" w14:textId="77777777" w:rsidR="00025551" w:rsidRPr="008762C4" w:rsidRDefault="00025551" w:rsidP="0010719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53" w:type="dxa"/>
            <w:vAlign w:val="center"/>
          </w:tcPr>
          <w:p w14:paraId="7E54446F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Revokes Tree Protection Local Law 2010 No. 17.</w:t>
            </w:r>
          </w:p>
        </w:tc>
        <w:tc>
          <w:tcPr>
            <w:tcW w:w="1849" w:type="dxa"/>
            <w:vAlign w:val="center"/>
          </w:tcPr>
          <w:p w14:paraId="01D25BA0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Revokes Tree Protection Local Law 2016 No. 22.</w:t>
            </w:r>
          </w:p>
        </w:tc>
        <w:tc>
          <w:tcPr>
            <w:tcW w:w="1860" w:type="dxa"/>
            <w:vAlign w:val="center"/>
          </w:tcPr>
          <w:p w14:paraId="7E11C1FE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Updates which prior local law is being revoked.</w:t>
            </w:r>
          </w:p>
        </w:tc>
        <w:tc>
          <w:tcPr>
            <w:tcW w:w="2518" w:type="dxa"/>
            <w:vAlign w:val="center"/>
          </w:tcPr>
          <w:p w14:paraId="0A4C2850" w14:textId="77777777" w:rsidR="00535250" w:rsidRPr="008762C4" w:rsidRDefault="00404150" w:rsidP="00107193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Administrative accuracy (the 2026 local law replaces 2016).</w:t>
            </w:r>
          </w:p>
        </w:tc>
      </w:tr>
      <w:tr w:rsidR="00025551" w:rsidRPr="008762C4" w14:paraId="18C2D4F9" w14:textId="77777777" w:rsidTr="00025551">
        <w:tc>
          <w:tcPr>
            <w:tcW w:w="2127" w:type="dxa"/>
            <w:vAlign w:val="center"/>
          </w:tcPr>
          <w:p w14:paraId="438E5A2D" w14:textId="77777777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Conflicts with other legislation</w:t>
            </w:r>
          </w:p>
          <w:p w14:paraId="018E6A6C" w14:textId="2C2816F8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53" w:type="dxa"/>
            <w:vAlign w:val="center"/>
          </w:tcPr>
          <w:p w14:paraId="4F95562C" w14:textId="2506ED72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No standalone “conflicts” clause.</w:t>
            </w:r>
          </w:p>
        </w:tc>
        <w:tc>
          <w:tcPr>
            <w:tcW w:w="1849" w:type="dxa"/>
            <w:vAlign w:val="center"/>
          </w:tcPr>
          <w:p w14:paraId="2F17C4E1" w14:textId="15CFEE8E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Adds </w:t>
            </w:r>
            <w:proofErr w:type="gramStart"/>
            <w:r w:rsidRPr="008762C4">
              <w:rPr>
                <w:rFonts w:asciiTheme="majorHAnsi" w:hAnsiTheme="majorHAnsi" w:cstheme="majorHAnsi"/>
              </w:rPr>
              <w:t>clause:</w:t>
            </w:r>
            <w:proofErr w:type="gramEnd"/>
            <w:r w:rsidRPr="008762C4">
              <w:rPr>
                <w:rFonts w:asciiTheme="majorHAnsi" w:hAnsiTheme="majorHAnsi" w:cstheme="majorHAnsi"/>
              </w:rPr>
              <w:t xml:space="preserve"> applies only to extent not inconsistent with Acts/Regs/Planning Scheme.</w:t>
            </w:r>
          </w:p>
        </w:tc>
        <w:tc>
          <w:tcPr>
            <w:tcW w:w="1860" w:type="dxa"/>
            <w:vAlign w:val="center"/>
          </w:tcPr>
          <w:p w14:paraId="3DE8CA73" w14:textId="64FF83A4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Clarifies interaction with other laws.</w:t>
            </w:r>
          </w:p>
        </w:tc>
        <w:tc>
          <w:tcPr>
            <w:tcW w:w="2518" w:type="dxa"/>
            <w:vAlign w:val="center"/>
          </w:tcPr>
          <w:p w14:paraId="26AB6808" w14:textId="396A246A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Reduce confusion; improve legal certainty </w:t>
            </w:r>
          </w:p>
        </w:tc>
      </w:tr>
      <w:tr w:rsidR="00025551" w:rsidRPr="008762C4" w14:paraId="102E3F5D" w14:textId="77777777" w:rsidTr="00025551">
        <w:tc>
          <w:tcPr>
            <w:tcW w:w="2127" w:type="dxa"/>
            <w:vAlign w:val="center"/>
          </w:tcPr>
          <w:p w14:paraId="3133D2BB" w14:textId="77777777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Clause 7 scope – land categories</w:t>
            </w:r>
          </w:p>
          <w:p w14:paraId="057114AD" w14:textId="77777777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53" w:type="dxa"/>
            <w:vAlign w:val="center"/>
          </w:tcPr>
          <w:p w14:paraId="5E32D782" w14:textId="77777777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Applies to trees on Road, Council Land or Public Land.</w:t>
            </w:r>
          </w:p>
        </w:tc>
        <w:tc>
          <w:tcPr>
            <w:tcW w:w="1849" w:type="dxa"/>
            <w:vAlign w:val="center"/>
          </w:tcPr>
          <w:p w14:paraId="5F828BF0" w14:textId="77777777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Applies to trees on Road, municipal place or Public Land.</w:t>
            </w:r>
          </w:p>
        </w:tc>
        <w:tc>
          <w:tcPr>
            <w:tcW w:w="1860" w:type="dxa"/>
            <w:vAlign w:val="center"/>
          </w:tcPr>
          <w:p w14:paraId="2E3F5DBD" w14:textId="5FFCE49D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Replaces “Council Land” with “municipal place” </w:t>
            </w:r>
          </w:p>
        </w:tc>
        <w:tc>
          <w:tcPr>
            <w:tcW w:w="2518" w:type="dxa"/>
            <w:vAlign w:val="center"/>
          </w:tcPr>
          <w:p w14:paraId="4FFBF68C" w14:textId="77777777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Clarify scope across Council</w:t>
            </w:r>
            <w:r w:rsidRPr="008762C4">
              <w:rPr>
                <w:rFonts w:ascii="Cambria Math" w:hAnsi="Cambria Math" w:cs="Cambria Math"/>
              </w:rPr>
              <w:t>‑</w:t>
            </w:r>
            <w:r w:rsidRPr="008762C4">
              <w:rPr>
                <w:rFonts w:asciiTheme="majorHAnsi" w:hAnsiTheme="majorHAnsi" w:cstheme="majorHAnsi"/>
              </w:rPr>
              <w:t>controlled assets, not just “Council Land.”</w:t>
            </w:r>
          </w:p>
        </w:tc>
      </w:tr>
      <w:tr w:rsidR="00025551" w:rsidRPr="008762C4" w14:paraId="669B1F52" w14:textId="77777777" w:rsidTr="00025551">
        <w:tc>
          <w:tcPr>
            <w:tcW w:w="2127" w:type="dxa"/>
            <w:vAlign w:val="center"/>
          </w:tcPr>
          <w:p w14:paraId="01AF19F6" w14:textId="4438BBEE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Images</w:t>
            </w:r>
          </w:p>
        </w:tc>
        <w:tc>
          <w:tcPr>
            <w:tcW w:w="1853" w:type="dxa"/>
            <w:vAlign w:val="center"/>
          </w:tcPr>
          <w:p w14:paraId="3583B43B" w14:textId="30B3307C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Uses images to indicate permit triggers</w:t>
            </w:r>
          </w:p>
        </w:tc>
        <w:tc>
          <w:tcPr>
            <w:tcW w:w="1849" w:type="dxa"/>
            <w:vAlign w:val="center"/>
          </w:tcPr>
          <w:p w14:paraId="18A60851" w14:textId="6C095978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Uses images to indicate permit triggers (improved image clarity)</w:t>
            </w:r>
          </w:p>
        </w:tc>
        <w:tc>
          <w:tcPr>
            <w:tcW w:w="1860" w:type="dxa"/>
            <w:vAlign w:val="center"/>
          </w:tcPr>
          <w:p w14:paraId="3499BD7B" w14:textId="02F78AFB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Images updated</w:t>
            </w:r>
          </w:p>
        </w:tc>
        <w:tc>
          <w:tcPr>
            <w:tcW w:w="2518" w:type="dxa"/>
            <w:vAlign w:val="center"/>
          </w:tcPr>
          <w:p w14:paraId="0906D80D" w14:textId="22C6676E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Improve image clarity about when a permit is required </w:t>
            </w:r>
          </w:p>
        </w:tc>
      </w:tr>
      <w:tr w:rsidR="00025551" w:rsidRPr="008762C4" w14:paraId="053945D5" w14:textId="77777777" w:rsidTr="00025551">
        <w:tc>
          <w:tcPr>
            <w:tcW w:w="2127" w:type="dxa"/>
            <w:vAlign w:val="center"/>
          </w:tcPr>
          <w:p w14:paraId="594198D8" w14:textId="54108889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Owner liability / </w:t>
            </w:r>
            <w:proofErr w:type="spellStart"/>
            <w:r w:rsidRPr="008762C4">
              <w:rPr>
                <w:rFonts w:asciiTheme="majorHAnsi" w:hAnsiTheme="majorHAnsi" w:cstheme="majorHAnsi"/>
              </w:rPr>
              <w:t>defence</w:t>
            </w:r>
            <w:proofErr w:type="spellEnd"/>
          </w:p>
        </w:tc>
        <w:tc>
          <w:tcPr>
            <w:tcW w:w="1853" w:type="dxa"/>
            <w:vAlign w:val="center"/>
          </w:tcPr>
          <w:p w14:paraId="449169F0" w14:textId="77777777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Owner guilty unless they prove the act was done without authority/knowledge (explicit </w:t>
            </w:r>
            <w:proofErr w:type="spellStart"/>
            <w:r w:rsidRPr="008762C4">
              <w:rPr>
                <w:rFonts w:asciiTheme="majorHAnsi" w:hAnsiTheme="majorHAnsi" w:cstheme="majorHAnsi"/>
              </w:rPr>
              <w:t>defence</w:t>
            </w:r>
            <w:proofErr w:type="spellEnd"/>
            <w:r w:rsidRPr="008762C4">
              <w:rPr>
                <w:rFonts w:asciiTheme="majorHAnsi" w:hAnsiTheme="majorHAnsi" w:cstheme="majorHAnsi"/>
              </w:rPr>
              <w:t>).</w:t>
            </w:r>
          </w:p>
        </w:tc>
        <w:tc>
          <w:tcPr>
            <w:tcW w:w="1849" w:type="dxa"/>
            <w:vAlign w:val="center"/>
          </w:tcPr>
          <w:p w14:paraId="199A035E" w14:textId="7A518B40" w:rsidR="00025551" w:rsidRPr="008762C4" w:rsidRDefault="00293408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Removes clause 8(4) which includes this </w:t>
            </w:r>
            <w:proofErr w:type="spellStart"/>
            <w:r w:rsidRPr="008762C4">
              <w:rPr>
                <w:rFonts w:asciiTheme="majorHAnsi" w:hAnsiTheme="majorHAnsi" w:cstheme="majorHAnsi"/>
              </w:rPr>
              <w:t>defence</w:t>
            </w:r>
            <w:proofErr w:type="spellEnd"/>
            <w:r w:rsidR="00025551" w:rsidRPr="008762C4">
              <w:rPr>
                <w:rFonts w:asciiTheme="majorHAnsi" w:hAnsiTheme="majorHAnsi" w:cstheme="majorHAnsi"/>
              </w:rPr>
              <w:t xml:space="preserve"> for private </w:t>
            </w:r>
            <w:proofErr w:type="gramStart"/>
            <w:r w:rsidR="00025551" w:rsidRPr="008762C4">
              <w:rPr>
                <w:rFonts w:asciiTheme="majorHAnsi" w:hAnsiTheme="majorHAnsi" w:cstheme="majorHAnsi"/>
              </w:rPr>
              <w:t>land owners</w:t>
            </w:r>
            <w:proofErr w:type="gramEnd"/>
            <w:r w:rsidR="00025551" w:rsidRPr="008762C4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860" w:type="dxa"/>
            <w:vAlign w:val="center"/>
          </w:tcPr>
          <w:p w14:paraId="447FE532" w14:textId="03B71843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Increases owner responsibility as drafted.</w:t>
            </w:r>
          </w:p>
        </w:tc>
        <w:tc>
          <w:tcPr>
            <w:tcW w:w="2518" w:type="dxa"/>
            <w:vAlign w:val="center"/>
          </w:tcPr>
          <w:p w14:paraId="798883E8" w14:textId="46A62481" w:rsidR="00025551" w:rsidRPr="008762C4" w:rsidRDefault="00025551" w:rsidP="00025551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Stronger </w:t>
            </w:r>
            <w:proofErr w:type="gramStart"/>
            <w:r w:rsidRPr="008762C4">
              <w:rPr>
                <w:rFonts w:asciiTheme="majorHAnsi" w:hAnsiTheme="majorHAnsi" w:cstheme="majorHAnsi"/>
              </w:rPr>
              <w:t>accountability;</w:t>
            </w:r>
            <w:proofErr w:type="gramEnd"/>
            <w:r w:rsidRPr="008762C4">
              <w:rPr>
                <w:rFonts w:asciiTheme="majorHAnsi" w:hAnsiTheme="majorHAnsi" w:cstheme="majorHAnsi"/>
              </w:rPr>
              <w:t xml:space="preserve"> improve </w:t>
            </w:r>
            <w:r w:rsidR="00293408" w:rsidRPr="008762C4">
              <w:rPr>
                <w:rFonts w:asciiTheme="majorHAnsi" w:hAnsiTheme="majorHAnsi" w:cstheme="majorHAnsi"/>
              </w:rPr>
              <w:t xml:space="preserve">Council’s ability to investigate and </w:t>
            </w:r>
            <w:r w:rsidRPr="008762C4">
              <w:rPr>
                <w:rFonts w:asciiTheme="majorHAnsi" w:hAnsiTheme="majorHAnsi" w:cstheme="majorHAnsi"/>
              </w:rPr>
              <w:t>enforce</w:t>
            </w:r>
            <w:r w:rsidR="00293408" w:rsidRPr="008762C4">
              <w:rPr>
                <w:rFonts w:asciiTheme="majorHAnsi" w:hAnsiTheme="majorHAnsi" w:cstheme="majorHAnsi"/>
              </w:rPr>
              <w:t xml:space="preserve"> (if evidence is sufficient)</w:t>
            </w:r>
            <w:r w:rsidRPr="008762C4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4D5E69" w:rsidRPr="008762C4" w14:paraId="3159E9FC" w14:textId="77777777" w:rsidTr="00025551">
        <w:tc>
          <w:tcPr>
            <w:tcW w:w="2127" w:type="dxa"/>
            <w:vAlign w:val="center"/>
          </w:tcPr>
          <w:p w14:paraId="6E6B7A30" w14:textId="4E7111CC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Tree re-planting requirements</w:t>
            </w:r>
          </w:p>
        </w:tc>
        <w:tc>
          <w:tcPr>
            <w:tcW w:w="1853" w:type="dxa"/>
            <w:vAlign w:val="center"/>
          </w:tcPr>
          <w:p w14:paraId="2C3B878A" w14:textId="6869841B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Clause 8(5) enables Council to direct a person to replace a tree if in breach of clause 8</w:t>
            </w:r>
          </w:p>
        </w:tc>
        <w:tc>
          <w:tcPr>
            <w:tcW w:w="1849" w:type="dxa"/>
            <w:vAlign w:val="center"/>
          </w:tcPr>
          <w:p w14:paraId="02CB759B" w14:textId="67A3B021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Updates existing clause (now 8(4)) and adds 8(5) to further explain details of re-planting requirement </w:t>
            </w:r>
          </w:p>
        </w:tc>
        <w:tc>
          <w:tcPr>
            <w:tcW w:w="1860" w:type="dxa"/>
            <w:vAlign w:val="center"/>
          </w:tcPr>
          <w:p w14:paraId="526B5ED3" w14:textId="5468C855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Strengthen Council’s ability to require rectification of illegal tree removal or damage, regardless of the </w:t>
            </w:r>
            <w:r w:rsidRPr="008762C4">
              <w:rPr>
                <w:rFonts w:asciiTheme="majorHAnsi" w:hAnsiTheme="majorHAnsi" w:cstheme="majorHAnsi"/>
              </w:rPr>
              <w:lastRenderedPageBreak/>
              <w:t xml:space="preserve">reason or owner's knowledge. </w:t>
            </w:r>
          </w:p>
        </w:tc>
        <w:tc>
          <w:tcPr>
            <w:tcW w:w="2518" w:type="dxa"/>
            <w:vAlign w:val="center"/>
          </w:tcPr>
          <w:p w14:paraId="7C21A23D" w14:textId="406CE68B" w:rsidR="004D5E69" w:rsidRPr="008762C4" w:rsidRDefault="004D5E69" w:rsidP="004D5E69">
            <w:pPr>
              <w:rPr>
                <w:rFonts w:asciiTheme="majorHAnsi" w:hAnsiTheme="majorHAnsi" w:cstheme="majorHAnsi"/>
                <w:lang w:val="en-AU"/>
              </w:rPr>
            </w:pPr>
            <w:r w:rsidRPr="008762C4">
              <w:rPr>
                <w:rFonts w:asciiTheme="majorHAnsi" w:hAnsiTheme="majorHAnsi" w:cstheme="majorHAnsi"/>
              </w:rPr>
              <w:lastRenderedPageBreak/>
              <w:t xml:space="preserve">Council could require replanting as close as possible to the original species and location, and any future removal/ pruning of the replacement tree would need a permit. </w:t>
            </w:r>
            <w:r w:rsidRPr="008762C4">
              <w:rPr>
                <w:rFonts w:asciiTheme="majorHAnsi" w:hAnsiTheme="majorHAnsi" w:cstheme="majorHAnsi"/>
                <w:lang w:val="en-AU"/>
              </w:rPr>
              <w:t xml:space="preserve">Replacement </w:t>
            </w:r>
            <w:r w:rsidRPr="008762C4">
              <w:rPr>
                <w:rFonts w:asciiTheme="majorHAnsi" w:hAnsiTheme="majorHAnsi" w:cstheme="majorHAnsi"/>
                <w:lang w:val="en-AU"/>
              </w:rPr>
              <w:lastRenderedPageBreak/>
              <w:t>requirements help maintain canopy growth and support long-term canopy cover goals.​</w:t>
            </w:r>
          </w:p>
        </w:tc>
      </w:tr>
      <w:tr w:rsidR="004D5E69" w:rsidRPr="008762C4" w14:paraId="032F6D96" w14:textId="77777777" w:rsidTr="00025551">
        <w:tc>
          <w:tcPr>
            <w:tcW w:w="2127" w:type="dxa"/>
            <w:vAlign w:val="center"/>
          </w:tcPr>
          <w:p w14:paraId="0138BB3F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lastRenderedPageBreak/>
              <w:t>Permit duration (default expiry)</w:t>
            </w:r>
          </w:p>
        </w:tc>
        <w:tc>
          <w:tcPr>
            <w:tcW w:w="1853" w:type="dxa"/>
            <w:vAlign w:val="center"/>
          </w:tcPr>
          <w:p w14:paraId="78742292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If no expiry date: permit expires 60 days after issue.</w:t>
            </w:r>
          </w:p>
        </w:tc>
        <w:tc>
          <w:tcPr>
            <w:tcW w:w="1849" w:type="dxa"/>
            <w:vAlign w:val="center"/>
          </w:tcPr>
          <w:p w14:paraId="1A5F2E35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If no expiry date: permit expires 12 months after issue.</w:t>
            </w:r>
          </w:p>
        </w:tc>
        <w:tc>
          <w:tcPr>
            <w:tcW w:w="1860" w:type="dxa"/>
            <w:vAlign w:val="center"/>
          </w:tcPr>
          <w:p w14:paraId="507C6D50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Longer default timeframe to complete approved works.</w:t>
            </w:r>
          </w:p>
        </w:tc>
        <w:tc>
          <w:tcPr>
            <w:tcW w:w="2518" w:type="dxa"/>
            <w:vAlign w:val="center"/>
          </w:tcPr>
          <w:p w14:paraId="507A6988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Reduce reapplications; more realistic timelines for works/arborists.</w:t>
            </w:r>
          </w:p>
        </w:tc>
      </w:tr>
      <w:tr w:rsidR="004D5E69" w:rsidRPr="008762C4" w14:paraId="37536837" w14:textId="77777777" w:rsidTr="00025551">
        <w:tc>
          <w:tcPr>
            <w:tcW w:w="2127" w:type="dxa"/>
            <w:vAlign w:val="center"/>
          </w:tcPr>
          <w:p w14:paraId="4D8BCB8A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Fees discretion</w:t>
            </w:r>
          </w:p>
        </w:tc>
        <w:tc>
          <w:tcPr>
            <w:tcW w:w="1853" w:type="dxa"/>
            <w:vAlign w:val="center"/>
          </w:tcPr>
          <w:p w14:paraId="070C41E2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Applicant pays appropriate fee (no explicit waiver statement).</w:t>
            </w:r>
          </w:p>
        </w:tc>
        <w:tc>
          <w:tcPr>
            <w:tcW w:w="1849" w:type="dxa"/>
            <w:vAlign w:val="center"/>
          </w:tcPr>
          <w:p w14:paraId="7C482FEC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Adds: Council may waive, reduce or alter any fee.</w:t>
            </w:r>
          </w:p>
        </w:tc>
        <w:tc>
          <w:tcPr>
            <w:tcW w:w="1860" w:type="dxa"/>
            <w:vAlign w:val="center"/>
          </w:tcPr>
          <w:p w14:paraId="7863731B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Adds clearer discretion on fees.</w:t>
            </w:r>
          </w:p>
        </w:tc>
        <w:tc>
          <w:tcPr>
            <w:tcW w:w="2518" w:type="dxa"/>
            <w:vAlign w:val="center"/>
          </w:tcPr>
          <w:p w14:paraId="1A43D51D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Support equity/hardship cases; streamline administration.</w:t>
            </w:r>
          </w:p>
        </w:tc>
      </w:tr>
      <w:tr w:rsidR="004D5E69" w:rsidRPr="008762C4" w14:paraId="1CEA13A8" w14:textId="77777777" w:rsidTr="00025551">
        <w:tc>
          <w:tcPr>
            <w:tcW w:w="2127" w:type="dxa"/>
            <w:vAlign w:val="center"/>
          </w:tcPr>
          <w:p w14:paraId="15D1E60B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Permit assessment policy reference</w:t>
            </w:r>
          </w:p>
        </w:tc>
        <w:tc>
          <w:tcPr>
            <w:tcW w:w="1853" w:type="dxa"/>
            <w:vAlign w:val="center"/>
          </w:tcPr>
          <w:p w14:paraId="3072E23A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Assessment criteria: Frankston Street Tree Management Policy.</w:t>
            </w:r>
          </w:p>
        </w:tc>
        <w:tc>
          <w:tcPr>
            <w:tcW w:w="1849" w:type="dxa"/>
            <w:vAlign w:val="center"/>
          </w:tcPr>
          <w:p w14:paraId="425DA7AF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Assessment criteria: Urban Forest Policy.</w:t>
            </w:r>
          </w:p>
        </w:tc>
        <w:tc>
          <w:tcPr>
            <w:tcW w:w="1860" w:type="dxa"/>
            <w:vAlign w:val="center"/>
          </w:tcPr>
          <w:p w14:paraId="1DF6AB89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Updates policy basis for decisions.</w:t>
            </w:r>
          </w:p>
        </w:tc>
        <w:tc>
          <w:tcPr>
            <w:tcW w:w="2518" w:type="dxa"/>
            <w:vAlign w:val="center"/>
          </w:tcPr>
          <w:p w14:paraId="1B1F5AC6" w14:textId="366197A6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Align decisions with current Policy.</w:t>
            </w:r>
          </w:p>
        </w:tc>
      </w:tr>
      <w:tr w:rsidR="004D5E69" w:rsidRPr="008762C4" w14:paraId="5E3DC85D" w14:textId="77777777" w:rsidTr="00025551">
        <w:tc>
          <w:tcPr>
            <w:tcW w:w="2127" w:type="dxa"/>
            <w:vAlign w:val="center"/>
          </w:tcPr>
          <w:p w14:paraId="5BC3CCCB" w14:textId="5E6AB613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Permit assessment </w:t>
            </w:r>
          </w:p>
        </w:tc>
        <w:tc>
          <w:tcPr>
            <w:tcW w:w="1853" w:type="dxa"/>
            <w:vAlign w:val="center"/>
          </w:tcPr>
          <w:p w14:paraId="01947C30" w14:textId="2D3BA59C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Assessment criteria: Does not include bushfire management plan</w:t>
            </w:r>
          </w:p>
        </w:tc>
        <w:tc>
          <w:tcPr>
            <w:tcW w:w="1849" w:type="dxa"/>
            <w:vAlign w:val="center"/>
          </w:tcPr>
          <w:p w14:paraId="386CFB41" w14:textId="4AE441E0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Assessment criteria: Bushfire management plan</w:t>
            </w:r>
          </w:p>
        </w:tc>
        <w:tc>
          <w:tcPr>
            <w:tcW w:w="1860" w:type="dxa"/>
            <w:vAlign w:val="center"/>
          </w:tcPr>
          <w:p w14:paraId="47EFC0D5" w14:textId="559D3F99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Includes bushfire management plan as part of decision criteria.</w:t>
            </w:r>
          </w:p>
        </w:tc>
        <w:tc>
          <w:tcPr>
            <w:tcW w:w="2518" w:type="dxa"/>
            <w:vAlign w:val="center"/>
          </w:tcPr>
          <w:p w14:paraId="53C596FA" w14:textId="1A34E52A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Enables applicant to submit Bushfire management plan for asset protection considerations</w:t>
            </w:r>
          </w:p>
        </w:tc>
      </w:tr>
      <w:tr w:rsidR="004D5E69" w:rsidRPr="008762C4" w14:paraId="73085A8B" w14:textId="77777777" w:rsidTr="00025551">
        <w:tc>
          <w:tcPr>
            <w:tcW w:w="2127" w:type="dxa"/>
            <w:vAlign w:val="center"/>
          </w:tcPr>
          <w:p w14:paraId="1C2E1750" w14:textId="1E0CD139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Permit assessment – public nuisance threshold</w:t>
            </w:r>
          </w:p>
        </w:tc>
        <w:tc>
          <w:tcPr>
            <w:tcW w:w="1853" w:type="dxa"/>
            <w:vAlign w:val="center"/>
          </w:tcPr>
          <w:p w14:paraId="2F4126D0" w14:textId="09E2D04F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Council considers whether tree is causing “a public nuisance” (and undue nuisance to adjoining landowners).</w:t>
            </w:r>
          </w:p>
        </w:tc>
        <w:tc>
          <w:tcPr>
            <w:tcW w:w="1849" w:type="dxa"/>
            <w:vAlign w:val="center"/>
          </w:tcPr>
          <w:p w14:paraId="717ACFBA" w14:textId="73C2B884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Council considers whether tree is causing an “unreasonable public nuisance” (and undue nuisance to adjoining landowners).</w:t>
            </w:r>
          </w:p>
        </w:tc>
        <w:tc>
          <w:tcPr>
            <w:tcW w:w="1860" w:type="dxa"/>
            <w:vAlign w:val="center"/>
          </w:tcPr>
          <w:p w14:paraId="0F800E6E" w14:textId="3F5FFE1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Adds the word “unreasonable”, raising the threshold and making the test more objective.</w:t>
            </w:r>
          </w:p>
        </w:tc>
        <w:tc>
          <w:tcPr>
            <w:tcW w:w="2518" w:type="dxa"/>
            <w:vAlign w:val="center"/>
          </w:tcPr>
          <w:p w14:paraId="3EB64F2E" w14:textId="151E6A99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Focus decisions on genuine impacts, not minor annoyance.</w:t>
            </w:r>
          </w:p>
        </w:tc>
      </w:tr>
      <w:tr w:rsidR="004D5E69" w:rsidRPr="008762C4" w14:paraId="0449C00A" w14:textId="77777777" w:rsidTr="00025551">
        <w:tc>
          <w:tcPr>
            <w:tcW w:w="2127" w:type="dxa"/>
            <w:vAlign w:val="center"/>
          </w:tcPr>
          <w:p w14:paraId="5B00D092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Owner consent &amp; abatement clarification</w:t>
            </w:r>
          </w:p>
        </w:tc>
        <w:tc>
          <w:tcPr>
            <w:tcW w:w="1853" w:type="dxa"/>
            <w:vAlign w:val="center"/>
          </w:tcPr>
          <w:p w14:paraId="494E6840" w14:textId="1796DC5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Owner consent required for permit applications (no abatement consideration).</w:t>
            </w:r>
          </w:p>
        </w:tc>
        <w:tc>
          <w:tcPr>
            <w:tcW w:w="1849" w:type="dxa"/>
            <w:vAlign w:val="center"/>
          </w:tcPr>
          <w:p w14:paraId="600238B6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Keeps owner consent; adds exception referencing Common Law Right of Abatement for encroaching branches/roots.</w:t>
            </w:r>
          </w:p>
        </w:tc>
        <w:tc>
          <w:tcPr>
            <w:tcW w:w="1860" w:type="dxa"/>
            <w:vAlign w:val="center"/>
          </w:tcPr>
          <w:p w14:paraId="504699AC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Clarifies how applications work in encroachment situations.</w:t>
            </w:r>
          </w:p>
        </w:tc>
        <w:tc>
          <w:tcPr>
            <w:tcW w:w="2518" w:type="dxa"/>
            <w:vAlign w:val="center"/>
          </w:tcPr>
          <w:p w14:paraId="3F82497B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Reflect common law reality; clarify </w:t>
            </w:r>
            <w:proofErr w:type="spellStart"/>
            <w:r w:rsidRPr="008762C4">
              <w:rPr>
                <w:rFonts w:asciiTheme="majorHAnsi" w:hAnsiTheme="majorHAnsi" w:cstheme="majorHAnsi"/>
              </w:rPr>
              <w:t>neighbour</w:t>
            </w:r>
            <w:proofErr w:type="spellEnd"/>
            <w:r w:rsidRPr="008762C4">
              <w:rPr>
                <w:rFonts w:asciiTheme="majorHAnsi" w:hAnsiTheme="majorHAnsi" w:cstheme="majorHAnsi"/>
              </w:rPr>
              <w:t xml:space="preserve"> boundary situations.</w:t>
            </w:r>
          </w:p>
        </w:tc>
      </w:tr>
      <w:tr w:rsidR="004D5E69" w:rsidRPr="008762C4" w14:paraId="2F79AB5F" w14:textId="77777777" w:rsidTr="00025551">
        <w:tc>
          <w:tcPr>
            <w:tcW w:w="2127" w:type="dxa"/>
          </w:tcPr>
          <w:p w14:paraId="37AF5882" w14:textId="2E43EB09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Public notice (submissions)</w:t>
            </w:r>
          </w:p>
        </w:tc>
        <w:tc>
          <w:tcPr>
            <w:tcW w:w="1853" w:type="dxa"/>
          </w:tcPr>
          <w:p w14:paraId="5CE35455" w14:textId="7E9C757C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Council may require applicant to give public notice and allows submissions; 14</w:t>
            </w:r>
            <w:r w:rsidRPr="008762C4">
              <w:rPr>
                <w:rFonts w:ascii="Cambria Math" w:hAnsi="Cambria Math" w:cs="Cambria Math"/>
              </w:rPr>
              <w:t>‑</w:t>
            </w:r>
            <w:r w:rsidRPr="008762C4">
              <w:rPr>
                <w:rFonts w:asciiTheme="majorHAnsi" w:hAnsiTheme="majorHAnsi" w:cstheme="majorHAnsi"/>
              </w:rPr>
              <w:t>day period is specified.</w:t>
            </w:r>
          </w:p>
        </w:tc>
        <w:tc>
          <w:tcPr>
            <w:tcW w:w="1849" w:type="dxa"/>
          </w:tcPr>
          <w:p w14:paraId="18272A4E" w14:textId="5353FF3F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Council may require public notice; draft provides more detailed minimum notice content and </w:t>
            </w:r>
            <w:r w:rsidRPr="008762C4">
              <w:rPr>
                <w:rFonts w:asciiTheme="majorHAnsi" w:hAnsiTheme="majorHAnsi" w:cstheme="majorHAnsi"/>
              </w:rPr>
              <w:lastRenderedPageBreak/>
              <w:t>reiterates 14</w:t>
            </w:r>
            <w:r w:rsidRPr="008762C4">
              <w:rPr>
                <w:rFonts w:ascii="Cambria Math" w:hAnsi="Cambria Math" w:cs="Cambria Math"/>
              </w:rPr>
              <w:t>‑</w:t>
            </w:r>
            <w:r w:rsidRPr="008762C4">
              <w:rPr>
                <w:rFonts w:asciiTheme="majorHAnsi" w:hAnsiTheme="majorHAnsi" w:cstheme="majorHAnsi"/>
              </w:rPr>
              <w:t>day submission window and consideration of submissions.</w:t>
            </w:r>
          </w:p>
        </w:tc>
        <w:tc>
          <w:tcPr>
            <w:tcW w:w="1860" w:type="dxa"/>
          </w:tcPr>
          <w:p w14:paraId="318EBB9E" w14:textId="5873EEA0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lastRenderedPageBreak/>
              <w:t xml:space="preserve">Clarifies and strengthens transparency around how and when the community can </w:t>
            </w:r>
            <w:r w:rsidRPr="008762C4">
              <w:rPr>
                <w:rFonts w:asciiTheme="majorHAnsi" w:hAnsiTheme="majorHAnsi" w:cstheme="majorHAnsi"/>
              </w:rPr>
              <w:lastRenderedPageBreak/>
              <w:t>make submissions.</w:t>
            </w:r>
          </w:p>
        </w:tc>
        <w:tc>
          <w:tcPr>
            <w:tcW w:w="2518" w:type="dxa"/>
          </w:tcPr>
          <w:p w14:paraId="4BC0689A" w14:textId="729648B0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lastRenderedPageBreak/>
              <w:t>Improve transparency and consistency; ensure affected people understand how to have their say.</w:t>
            </w:r>
          </w:p>
        </w:tc>
      </w:tr>
      <w:tr w:rsidR="004D5E69" w:rsidRPr="008762C4" w14:paraId="120EBE67" w14:textId="77777777" w:rsidTr="00025551">
        <w:tc>
          <w:tcPr>
            <w:tcW w:w="2127" w:type="dxa"/>
            <w:vAlign w:val="center"/>
          </w:tcPr>
          <w:p w14:paraId="1C58F6A2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Bond provisions</w:t>
            </w:r>
          </w:p>
        </w:tc>
        <w:tc>
          <w:tcPr>
            <w:tcW w:w="1853" w:type="dxa"/>
            <w:vAlign w:val="center"/>
          </w:tcPr>
          <w:p w14:paraId="1BFA64C5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No bond section.</w:t>
            </w:r>
          </w:p>
        </w:tc>
        <w:tc>
          <w:tcPr>
            <w:tcW w:w="1849" w:type="dxa"/>
            <w:vAlign w:val="center"/>
          </w:tcPr>
          <w:p w14:paraId="6FF88AB7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Adds ability to require a bond; use it to remedy breaches/repair damage; release/retention rules.</w:t>
            </w:r>
          </w:p>
        </w:tc>
        <w:tc>
          <w:tcPr>
            <w:tcW w:w="1860" w:type="dxa"/>
            <w:vAlign w:val="center"/>
          </w:tcPr>
          <w:p w14:paraId="2CEE94AE" w14:textId="118FC09D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Introduces a new enforcement tool.</w:t>
            </w:r>
          </w:p>
        </w:tc>
        <w:tc>
          <w:tcPr>
            <w:tcW w:w="2518" w:type="dxa"/>
            <w:vAlign w:val="center"/>
          </w:tcPr>
          <w:p w14:paraId="57CA96F9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Protect trees/Council from non</w:t>
            </w:r>
            <w:r w:rsidRPr="008762C4">
              <w:rPr>
                <w:rFonts w:ascii="Cambria Math" w:hAnsi="Cambria Math" w:cs="Cambria Math"/>
              </w:rPr>
              <w:t>‑</w:t>
            </w:r>
            <w:r w:rsidRPr="008762C4">
              <w:rPr>
                <w:rFonts w:asciiTheme="majorHAnsi" w:hAnsiTheme="majorHAnsi" w:cstheme="majorHAnsi"/>
              </w:rPr>
              <w:t>completion or damage; ensure compliance.</w:t>
            </w:r>
          </w:p>
        </w:tc>
      </w:tr>
      <w:tr w:rsidR="004D5E69" w:rsidRPr="008762C4" w14:paraId="1AAB0F20" w14:textId="77777777" w:rsidTr="00025551">
        <w:tc>
          <w:tcPr>
            <w:tcW w:w="2127" w:type="dxa"/>
            <w:vAlign w:val="center"/>
          </w:tcPr>
          <w:p w14:paraId="5AAB3721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Planning scheme exemption cross</w:t>
            </w:r>
            <w:r w:rsidRPr="008762C4">
              <w:rPr>
                <w:rFonts w:ascii="Cambria Math" w:hAnsi="Cambria Math" w:cs="Cambria Math"/>
              </w:rPr>
              <w:t>‑</w:t>
            </w:r>
            <w:r w:rsidRPr="008762C4">
              <w:rPr>
                <w:rFonts w:asciiTheme="majorHAnsi" w:hAnsiTheme="majorHAnsi" w:cstheme="majorHAnsi"/>
              </w:rPr>
              <w:t>reference</w:t>
            </w:r>
          </w:p>
        </w:tc>
        <w:tc>
          <w:tcPr>
            <w:tcW w:w="1853" w:type="dxa"/>
            <w:vAlign w:val="center"/>
          </w:tcPr>
          <w:p w14:paraId="756ED24A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References Frankston Planning Scheme clause 52.48.</w:t>
            </w:r>
          </w:p>
        </w:tc>
        <w:tc>
          <w:tcPr>
            <w:tcW w:w="1849" w:type="dxa"/>
            <w:vAlign w:val="center"/>
          </w:tcPr>
          <w:p w14:paraId="378650E7" w14:textId="0A0CF5B6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 xml:space="preserve">Draft references Frankston Planning Scheme clause 52.12 </w:t>
            </w:r>
          </w:p>
        </w:tc>
        <w:tc>
          <w:tcPr>
            <w:tcW w:w="1860" w:type="dxa"/>
            <w:vAlign w:val="center"/>
          </w:tcPr>
          <w:p w14:paraId="36DA76AD" w14:textId="0B1DC59D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Updates planning scheme Clause for Bushfire exemptions.</w:t>
            </w:r>
          </w:p>
        </w:tc>
        <w:tc>
          <w:tcPr>
            <w:tcW w:w="2518" w:type="dxa"/>
            <w:vAlign w:val="center"/>
          </w:tcPr>
          <w:p w14:paraId="76078CA2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Align with current planning controls / correct clause reference.</w:t>
            </w:r>
          </w:p>
        </w:tc>
      </w:tr>
      <w:tr w:rsidR="004D5E69" w:rsidRPr="008762C4" w14:paraId="0467D854" w14:textId="77777777" w:rsidTr="00025551">
        <w:tc>
          <w:tcPr>
            <w:tcW w:w="2127" w:type="dxa"/>
            <w:vAlign w:val="center"/>
          </w:tcPr>
          <w:p w14:paraId="2F70043C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Internal review pathway</w:t>
            </w:r>
          </w:p>
        </w:tc>
        <w:tc>
          <w:tcPr>
            <w:tcW w:w="1853" w:type="dxa"/>
            <w:vAlign w:val="center"/>
          </w:tcPr>
          <w:p w14:paraId="775F41D1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No internal review clause.</w:t>
            </w:r>
          </w:p>
        </w:tc>
        <w:tc>
          <w:tcPr>
            <w:tcW w:w="1849" w:type="dxa"/>
            <w:vAlign w:val="center"/>
          </w:tcPr>
          <w:p w14:paraId="1C6CEED5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Adds “Review of Decisions” (internal review within 30 days; pause compliance until decision).</w:t>
            </w:r>
          </w:p>
        </w:tc>
        <w:tc>
          <w:tcPr>
            <w:tcW w:w="1860" w:type="dxa"/>
            <w:vAlign w:val="center"/>
          </w:tcPr>
          <w:p w14:paraId="1A131741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Adds procedural fairness and a clear review pathway.</w:t>
            </w:r>
          </w:p>
        </w:tc>
        <w:tc>
          <w:tcPr>
            <w:tcW w:w="2518" w:type="dxa"/>
            <w:vAlign w:val="center"/>
          </w:tcPr>
          <w:p w14:paraId="696FE317" w14:textId="77777777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Improve transparency and trust; reduce disputes/escalation.</w:t>
            </w:r>
          </w:p>
        </w:tc>
      </w:tr>
      <w:tr w:rsidR="004D5E69" w:rsidRPr="008762C4" w14:paraId="1AF0379E" w14:textId="77777777" w:rsidTr="00025551">
        <w:tc>
          <w:tcPr>
            <w:tcW w:w="2127" w:type="dxa"/>
            <w:vAlign w:val="center"/>
          </w:tcPr>
          <w:p w14:paraId="1EE2C25E" w14:textId="1A9AAA93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Environmental Weed Schedule</w:t>
            </w:r>
          </w:p>
        </w:tc>
        <w:tc>
          <w:tcPr>
            <w:tcW w:w="1853" w:type="dxa"/>
            <w:vAlign w:val="center"/>
          </w:tcPr>
          <w:p w14:paraId="7C475E4C" w14:textId="28B118F8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Environmental weed list in Schedule</w:t>
            </w:r>
          </w:p>
        </w:tc>
        <w:tc>
          <w:tcPr>
            <w:tcW w:w="1849" w:type="dxa"/>
            <w:vAlign w:val="center"/>
          </w:tcPr>
          <w:p w14:paraId="58F974C1" w14:textId="4124F281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Environmental weed list in Schedule (updated nomenclature)</w:t>
            </w:r>
          </w:p>
        </w:tc>
        <w:tc>
          <w:tcPr>
            <w:tcW w:w="1860" w:type="dxa"/>
            <w:vAlign w:val="center"/>
          </w:tcPr>
          <w:p w14:paraId="750106B9" w14:textId="71BF98CD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Updates spelling and naming of weed species</w:t>
            </w:r>
          </w:p>
        </w:tc>
        <w:tc>
          <w:tcPr>
            <w:tcW w:w="2518" w:type="dxa"/>
            <w:vAlign w:val="center"/>
          </w:tcPr>
          <w:p w14:paraId="436BD5A7" w14:textId="04FF85F3" w:rsidR="004D5E69" w:rsidRPr="008762C4" w:rsidRDefault="004D5E69" w:rsidP="004D5E69">
            <w:pPr>
              <w:rPr>
                <w:rFonts w:asciiTheme="majorHAnsi" w:hAnsiTheme="majorHAnsi" w:cstheme="majorHAnsi"/>
              </w:rPr>
            </w:pPr>
            <w:r w:rsidRPr="008762C4">
              <w:rPr>
                <w:rFonts w:asciiTheme="majorHAnsi" w:hAnsiTheme="majorHAnsi" w:cstheme="majorHAnsi"/>
              </w:rPr>
              <w:t>Align with current species naming</w:t>
            </w:r>
          </w:p>
        </w:tc>
      </w:tr>
    </w:tbl>
    <w:p w14:paraId="0C927AF9" w14:textId="59C26696" w:rsidR="00535250" w:rsidRPr="00107193" w:rsidRDefault="00404150">
      <w:pPr>
        <w:rPr>
          <w:rFonts w:asciiTheme="majorHAnsi" w:hAnsiTheme="majorHAnsi" w:cstheme="majorHAnsi"/>
        </w:rPr>
      </w:pPr>
      <w:r w:rsidRPr="00107193">
        <w:rPr>
          <w:rFonts w:asciiTheme="majorHAnsi" w:hAnsiTheme="majorHAnsi" w:cstheme="majorHAnsi"/>
        </w:rPr>
        <w:br/>
      </w:r>
    </w:p>
    <w:sectPr w:rsidR="00535250" w:rsidRPr="001071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1560283">
    <w:abstractNumId w:val="8"/>
  </w:num>
  <w:num w:numId="2" w16cid:durableId="573708807">
    <w:abstractNumId w:val="6"/>
  </w:num>
  <w:num w:numId="3" w16cid:durableId="1497110822">
    <w:abstractNumId w:val="5"/>
  </w:num>
  <w:num w:numId="4" w16cid:durableId="753235879">
    <w:abstractNumId w:val="4"/>
  </w:num>
  <w:num w:numId="5" w16cid:durableId="23023100">
    <w:abstractNumId w:val="7"/>
  </w:num>
  <w:num w:numId="6" w16cid:durableId="1386684928">
    <w:abstractNumId w:val="3"/>
  </w:num>
  <w:num w:numId="7" w16cid:durableId="1824151864">
    <w:abstractNumId w:val="2"/>
  </w:num>
  <w:num w:numId="8" w16cid:durableId="406732608">
    <w:abstractNumId w:val="1"/>
  </w:num>
  <w:num w:numId="9" w16cid:durableId="7250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551"/>
    <w:rsid w:val="00034616"/>
    <w:rsid w:val="0006063C"/>
    <w:rsid w:val="00107193"/>
    <w:rsid w:val="0015074B"/>
    <w:rsid w:val="00293408"/>
    <w:rsid w:val="0029639D"/>
    <w:rsid w:val="00326F90"/>
    <w:rsid w:val="00404150"/>
    <w:rsid w:val="004249E0"/>
    <w:rsid w:val="00451D0E"/>
    <w:rsid w:val="004D5E69"/>
    <w:rsid w:val="00535250"/>
    <w:rsid w:val="008762C4"/>
    <w:rsid w:val="00AA1D8D"/>
    <w:rsid w:val="00AE2ED9"/>
    <w:rsid w:val="00B326C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10CB10"/>
  <w14:defaultImageDpi w14:val="300"/>
  <w15:docId w15:val="{53C262D0-E0D1-4098-9D07-61EAB5A9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2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��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9F3E24-6E0F-4846-BDB4-ABE78643E95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773</Words>
  <Characters>4868</Characters>
  <Application>Microsoft Office Word</Application>
  <DocSecurity>0</DocSecurity>
  <Lines>374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Heather Hutchinson (she/her)</cp:lastModifiedBy>
  <cp:revision>3</cp:revision>
  <dcterms:created xsi:type="dcterms:W3CDTF">2026-02-06T03:34:00Z</dcterms:created>
  <dcterms:modified xsi:type="dcterms:W3CDTF">2026-02-11T02:59:00Z</dcterms:modified>
  <cp:category/>
</cp:coreProperties>
</file>